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35" w:rsidRPr="004B58CA" w:rsidRDefault="00EE7635" w:rsidP="0050019B">
      <w:pPr>
        <w:spacing w:after="0"/>
        <w:jc w:val="both"/>
        <w:rPr>
          <w:b/>
          <w:lang w:val="en-US"/>
        </w:rPr>
      </w:pPr>
      <w:r w:rsidRPr="004B58CA">
        <w:rPr>
          <w:b/>
          <w:lang w:val="en-US"/>
        </w:rPr>
        <w:t xml:space="preserve">CARS experts </w:t>
      </w:r>
      <w:r w:rsidR="006D7D52" w:rsidRPr="004B58CA">
        <w:rPr>
          <w:b/>
          <w:lang w:val="en-US"/>
        </w:rPr>
        <w:t xml:space="preserve">supported Western Balkans countries to enhance air transport connectivity </w:t>
      </w:r>
    </w:p>
    <w:p w:rsidR="00CC6D7A" w:rsidRPr="004B58CA" w:rsidRDefault="00CC6D7A" w:rsidP="0050019B">
      <w:pPr>
        <w:spacing w:after="0"/>
        <w:jc w:val="both"/>
        <w:rPr>
          <w:lang w:val="en-US"/>
        </w:rPr>
      </w:pPr>
      <w:r w:rsidRPr="004B58CA">
        <w:rPr>
          <w:lang w:val="en-US"/>
        </w:rPr>
        <w:t xml:space="preserve">CARS experts participated in the </w:t>
      </w:r>
      <w:r w:rsidR="00372717" w:rsidRPr="004B58CA">
        <w:rPr>
          <w:i/>
          <w:lang w:val="en-US"/>
        </w:rPr>
        <w:t>TAIE</w:t>
      </w:r>
      <w:r w:rsidR="00372717" w:rsidRPr="004B58CA">
        <w:rPr>
          <w:i/>
          <w:color w:val="000000" w:themeColor="text1"/>
          <w:lang w:val="en-US"/>
        </w:rPr>
        <w:t xml:space="preserve">X </w:t>
      </w:r>
      <w:r w:rsidR="00372717" w:rsidRPr="004B58CA">
        <w:rPr>
          <w:i/>
          <w:color w:val="000000" w:themeColor="text1"/>
          <w:lang w:val="en-GB"/>
        </w:rPr>
        <w:t>Multi-Country Workshop on Public Service Obligations and State aid rules in aviation: considerations for enhancing air transport connectivity in the Western Balkans</w:t>
      </w:r>
      <w:r w:rsidR="00372717" w:rsidRPr="004B58CA">
        <w:rPr>
          <w:lang w:val="en-US"/>
        </w:rPr>
        <w:t xml:space="preserve"> </w:t>
      </w:r>
      <w:r w:rsidRPr="004B58CA">
        <w:rPr>
          <w:lang w:val="en-US"/>
        </w:rPr>
        <w:t xml:space="preserve">organized </w:t>
      </w:r>
      <w:r w:rsidR="00372717" w:rsidRPr="004B58CA">
        <w:rPr>
          <w:lang w:val="en-US"/>
        </w:rPr>
        <w:t xml:space="preserve">on 25-26 July 2018 in Podgorica </w:t>
      </w:r>
      <w:r w:rsidRPr="004B58CA">
        <w:rPr>
          <w:lang w:val="en-US"/>
        </w:rPr>
        <w:t xml:space="preserve">by </w:t>
      </w:r>
      <w:r w:rsidR="00372717" w:rsidRPr="004B58CA">
        <w:rPr>
          <w:lang w:val="en-US"/>
        </w:rPr>
        <w:t xml:space="preserve">the </w:t>
      </w:r>
      <w:r w:rsidRPr="004B58CA">
        <w:rPr>
          <w:lang w:val="en-US"/>
        </w:rPr>
        <w:t>Civil Aviation Authority of Montenegro</w:t>
      </w:r>
      <w:r w:rsidR="00372717" w:rsidRPr="004B58CA">
        <w:rPr>
          <w:lang w:val="en-US"/>
        </w:rPr>
        <w:t xml:space="preserve"> and </w:t>
      </w:r>
      <w:r w:rsidR="006D7D52" w:rsidRPr="004B58CA">
        <w:rPr>
          <w:lang w:val="en-US"/>
        </w:rPr>
        <w:t xml:space="preserve">the </w:t>
      </w:r>
      <w:r w:rsidR="00372717" w:rsidRPr="004B58CA">
        <w:rPr>
          <w:lang w:val="en-US"/>
        </w:rPr>
        <w:t>European Commission</w:t>
      </w:r>
      <w:r w:rsidRPr="004B58CA">
        <w:rPr>
          <w:lang w:val="en-US"/>
        </w:rPr>
        <w:t>.</w:t>
      </w:r>
    </w:p>
    <w:p w:rsidR="00873916" w:rsidRPr="004B58CA" w:rsidRDefault="00873916" w:rsidP="0050019B">
      <w:pPr>
        <w:spacing w:after="0"/>
        <w:jc w:val="both"/>
        <w:rPr>
          <w:lang w:val="en-GB"/>
        </w:rPr>
      </w:pPr>
      <w:r w:rsidRPr="004B58CA">
        <w:rPr>
          <w:lang w:val="en-US"/>
        </w:rPr>
        <w:t xml:space="preserve">After the introduction of </w:t>
      </w:r>
      <w:r w:rsidRPr="004B58CA">
        <w:rPr>
          <w:rFonts w:cs="Calibri"/>
          <w:b/>
          <w:lang w:val="en-GB"/>
        </w:rPr>
        <w:t xml:space="preserve">Mr. Mate </w:t>
      </w:r>
      <w:proofErr w:type="spellStart"/>
      <w:r w:rsidRPr="004B58CA">
        <w:rPr>
          <w:rFonts w:cs="Calibri"/>
          <w:b/>
          <w:lang w:val="en-GB"/>
        </w:rPr>
        <w:t>Gjorgjievski</w:t>
      </w:r>
      <w:proofErr w:type="spellEnd"/>
      <w:r w:rsidRPr="004B58CA">
        <w:rPr>
          <w:rFonts w:cs="Calibri"/>
          <w:lang w:val="en-GB"/>
        </w:rPr>
        <w:t>, Transport policy and law expert</w:t>
      </w:r>
      <w:r w:rsidR="004B58CA">
        <w:rPr>
          <w:rFonts w:cs="Calibri"/>
          <w:lang w:val="en-GB"/>
        </w:rPr>
        <w:t xml:space="preserve"> from the</w:t>
      </w:r>
      <w:r w:rsidRPr="004B58CA">
        <w:rPr>
          <w:rFonts w:cs="Calibri"/>
          <w:lang w:val="en-GB"/>
        </w:rPr>
        <w:t xml:space="preserve"> South East Europe Transport Observatory (SEETO, Belgrade), and </w:t>
      </w:r>
      <w:r w:rsidRPr="004B58CA">
        <w:rPr>
          <w:rFonts w:cs="Calibri"/>
          <w:b/>
          <w:lang w:val="en-GB"/>
        </w:rPr>
        <w:t>Prof</w:t>
      </w:r>
      <w:r w:rsidR="006D7D52" w:rsidRPr="004B58CA">
        <w:rPr>
          <w:rFonts w:cs="Calibri"/>
          <w:b/>
          <w:lang w:val="en-GB"/>
        </w:rPr>
        <w:t>essor</w:t>
      </w:r>
      <w:r w:rsidRPr="004B58CA">
        <w:rPr>
          <w:rFonts w:cs="Calibri"/>
          <w:b/>
          <w:lang w:val="en-GB"/>
        </w:rPr>
        <w:t xml:space="preserve"> </w:t>
      </w:r>
      <w:r w:rsidRPr="004B58CA">
        <w:rPr>
          <w:b/>
          <w:bCs/>
          <w:lang w:val="en-GB"/>
        </w:rPr>
        <w:t xml:space="preserve">Peter </w:t>
      </w:r>
      <w:proofErr w:type="spellStart"/>
      <w:r w:rsidRPr="004B58CA">
        <w:rPr>
          <w:b/>
          <w:bCs/>
          <w:lang w:val="en-GB"/>
        </w:rPr>
        <w:t>Haanappel</w:t>
      </w:r>
      <w:proofErr w:type="spellEnd"/>
      <w:r w:rsidRPr="004B58CA">
        <w:rPr>
          <w:lang w:val="en-GB"/>
        </w:rPr>
        <w:t xml:space="preserve"> from International Institute of Air and Space Law at Leyden University (Netherlands) </w:t>
      </w:r>
      <w:r w:rsidR="00FA2D2A">
        <w:rPr>
          <w:b/>
          <w:lang w:val="en-GB"/>
        </w:rPr>
        <w:t>Dr</w:t>
      </w:r>
      <w:r w:rsidRPr="004B58CA">
        <w:rPr>
          <w:lang w:val="en-GB"/>
        </w:rPr>
        <w:t xml:space="preserve"> </w:t>
      </w:r>
      <w:r w:rsidRPr="004B58CA">
        <w:rPr>
          <w:b/>
          <w:lang w:val="en-GB"/>
        </w:rPr>
        <w:t>Jan Walulik</w:t>
      </w:r>
      <w:r w:rsidR="00EE7635" w:rsidRPr="004B58CA">
        <w:rPr>
          <w:lang w:val="en-GB"/>
        </w:rPr>
        <w:t xml:space="preserve">, </w:t>
      </w:r>
      <w:r w:rsidR="00EE7635" w:rsidRPr="004B58CA">
        <w:rPr>
          <w:bCs/>
          <w:lang w:val="en-GB"/>
        </w:rPr>
        <w:t>Head of Civil Aviation Laboratory</w:t>
      </w:r>
      <w:r w:rsidRPr="004B58CA">
        <w:rPr>
          <w:lang w:val="en-GB"/>
        </w:rPr>
        <w:t xml:space="preserve"> </w:t>
      </w:r>
      <w:r w:rsidR="00EE7635" w:rsidRPr="004B58CA">
        <w:rPr>
          <w:lang w:val="en-GB"/>
        </w:rPr>
        <w:t>at CARS</w:t>
      </w:r>
      <w:r w:rsidR="004B58CA">
        <w:rPr>
          <w:lang w:val="en-GB"/>
        </w:rPr>
        <w:t>,</w:t>
      </w:r>
      <w:r w:rsidR="00EE7635" w:rsidRPr="004B58CA">
        <w:rPr>
          <w:lang w:val="en-GB"/>
        </w:rPr>
        <w:t xml:space="preserve"> </w:t>
      </w:r>
      <w:r w:rsidRPr="004B58CA">
        <w:rPr>
          <w:lang w:val="en-GB"/>
        </w:rPr>
        <w:t xml:space="preserve">gave the lecture on </w:t>
      </w:r>
      <w:r w:rsidRPr="004B58CA">
        <w:rPr>
          <w:rFonts w:cs="Calibri"/>
          <w:bCs/>
          <w:lang w:val="en-GB"/>
        </w:rPr>
        <w:t xml:space="preserve">Public Service Obligation in aviation, referring to EP and the Council regulation 1008/2008 and </w:t>
      </w:r>
      <w:r w:rsidR="00847550" w:rsidRPr="004B58CA">
        <w:rPr>
          <w:rFonts w:cs="Calibri"/>
          <w:bCs/>
          <w:lang w:val="en-GB"/>
        </w:rPr>
        <w:t xml:space="preserve">the </w:t>
      </w:r>
      <w:r w:rsidR="004B58CA">
        <w:rPr>
          <w:rFonts w:cs="Calibri"/>
          <w:bCs/>
          <w:lang w:val="en-GB"/>
        </w:rPr>
        <w:t xml:space="preserve">PSO </w:t>
      </w:r>
      <w:r w:rsidR="00847550" w:rsidRPr="004B58CA">
        <w:rPr>
          <w:rFonts w:cs="Calibri"/>
          <w:bCs/>
          <w:lang w:val="en-GB"/>
        </w:rPr>
        <w:t>guidelines</w:t>
      </w:r>
      <w:r w:rsidR="00847550" w:rsidRPr="004B58CA">
        <w:rPr>
          <w:rStyle w:val="Odwoanieprzypisudolnego"/>
          <w:rFonts w:cs="Calibri"/>
          <w:bCs/>
          <w:lang w:val="en-GB"/>
        </w:rPr>
        <w:footnoteReference w:id="1"/>
      </w:r>
      <w:r w:rsidR="00847550" w:rsidRPr="004B58CA">
        <w:rPr>
          <w:rFonts w:cs="Calibri"/>
          <w:bCs/>
          <w:lang w:val="en-GB"/>
        </w:rPr>
        <w:t xml:space="preserve">, as well as </w:t>
      </w:r>
      <w:r w:rsidRPr="004B58CA">
        <w:rPr>
          <w:rFonts w:cs="Calibri"/>
          <w:bCs/>
          <w:lang w:val="en-GB"/>
        </w:rPr>
        <w:t xml:space="preserve">bringing </w:t>
      </w:r>
      <w:r w:rsidR="00847550" w:rsidRPr="004B58CA">
        <w:rPr>
          <w:rFonts w:cs="Calibri"/>
          <w:bCs/>
          <w:lang w:val="en-GB"/>
        </w:rPr>
        <w:t xml:space="preserve">the history of PSO in Europe and elsewhere and </w:t>
      </w:r>
      <w:r w:rsidRPr="004B58CA">
        <w:rPr>
          <w:rFonts w:cs="Calibri"/>
          <w:bCs/>
          <w:lang w:val="en-GB"/>
        </w:rPr>
        <w:t>b</w:t>
      </w:r>
      <w:r w:rsidRPr="004B58CA">
        <w:rPr>
          <w:lang w:val="en-GB"/>
        </w:rPr>
        <w:t>est practices from the EU.</w:t>
      </w:r>
      <w:r w:rsidR="00FA2D2A">
        <w:rPr>
          <w:lang w:val="en-GB"/>
        </w:rPr>
        <w:t xml:space="preserve"> </w:t>
      </w:r>
    </w:p>
    <w:p w:rsidR="006D7D52" w:rsidRPr="006D7D52" w:rsidRDefault="00873916" w:rsidP="00FA2D2A">
      <w:pPr>
        <w:spacing w:after="0"/>
        <w:jc w:val="both"/>
        <w:rPr>
          <w:rFonts w:eastAsia="Times New Roman" w:cs="Lucida Sans Unicode"/>
          <w:vanish/>
          <w:color w:val="444444"/>
          <w:lang w:val="en" w:eastAsia="pl-PL"/>
        </w:rPr>
      </w:pPr>
      <w:r w:rsidRPr="004B58CA">
        <w:rPr>
          <w:lang w:val="en-GB"/>
        </w:rPr>
        <w:t xml:space="preserve">Later </w:t>
      </w:r>
      <w:r w:rsidR="00FA2D2A">
        <w:rPr>
          <w:b/>
          <w:lang w:val="en-GB"/>
        </w:rPr>
        <w:t>Dr</w:t>
      </w:r>
      <w:r w:rsidRPr="004B58CA">
        <w:rPr>
          <w:b/>
          <w:lang w:val="en-GB"/>
        </w:rPr>
        <w:t xml:space="preserve"> </w:t>
      </w:r>
      <w:proofErr w:type="spellStart"/>
      <w:r w:rsidRPr="004B58CA">
        <w:rPr>
          <w:b/>
          <w:lang w:val="en-GB"/>
        </w:rPr>
        <w:t>Paweł</w:t>
      </w:r>
      <w:proofErr w:type="spellEnd"/>
      <w:r w:rsidRPr="004B58CA">
        <w:rPr>
          <w:b/>
          <w:lang w:val="en-GB"/>
        </w:rPr>
        <w:t xml:space="preserve"> </w:t>
      </w:r>
      <w:proofErr w:type="spellStart"/>
      <w:r w:rsidRPr="004B58CA">
        <w:rPr>
          <w:b/>
          <w:lang w:val="en-GB"/>
        </w:rPr>
        <w:t>Zagrajek</w:t>
      </w:r>
      <w:proofErr w:type="spellEnd"/>
      <w:r w:rsidRPr="004B58CA">
        <w:rPr>
          <w:lang w:val="en-GB"/>
        </w:rPr>
        <w:t xml:space="preserve"> </w:t>
      </w:r>
      <w:r w:rsidR="00EE7635" w:rsidRPr="004B58CA">
        <w:rPr>
          <w:lang w:val="en-GB"/>
        </w:rPr>
        <w:t xml:space="preserve">presented the </w:t>
      </w:r>
      <w:r w:rsidR="00EE7635" w:rsidRPr="004B58CA">
        <w:rPr>
          <w:rFonts w:cs="Calibri"/>
          <w:bCs/>
          <w:lang w:val="en-GB"/>
        </w:rPr>
        <w:t xml:space="preserve">State Aid rules for airlines and for airports, </w:t>
      </w:r>
      <w:r w:rsidR="004B58CA" w:rsidRPr="004B58CA">
        <w:rPr>
          <w:rFonts w:cs="Calibri"/>
          <w:bCs/>
          <w:lang w:val="en-GB"/>
        </w:rPr>
        <w:t>referring</w:t>
      </w:r>
      <w:r w:rsidR="00EE7635" w:rsidRPr="004B58CA">
        <w:rPr>
          <w:rFonts w:cs="Calibri"/>
          <w:bCs/>
          <w:lang w:val="en-GB"/>
        </w:rPr>
        <w:t xml:space="preserve"> to </w:t>
      </w:r>
      <w:r w:rsidR="006D7D52" w:rsidRPr="004B58CA">
        <w:rPr>
          <w:rFonts w:cs="Calibri"/>
          <w:bCs/>
          <w:lang w:val="en-GB"/>
        </w:rPr>
        <w:t xml:space="preserve">the </w:t>
      </w:r>
      <w:r w:rsidR="008C7192" w:rsidRPr="008C7192">
        <w:rPr>
          <w:rFonts w:eastAsia="Times New Roman" w:cs="Lucida Sans Unicode"/>
          <w:bCs/>
          <w:i/>
          <w:color w:val="000000" w:themeColor="text1"/>
          <w:lang w:val="en" w:eastAsia="pl-PL"/>
        </w:rPr>
        <w:t>guidelines</w:t>
      </w:r>
      <w:r w:rsidR="006D7D52" w:rsidRPr="008C7192">
        <w:rPr>
          <w:rFonts w:eastAsia="Times New Roman" w:cs="Lucida Sans Unicode"/>
          <w:bCs/>
          <w:i/>
          <w:color w:val="000000" w:themeColor="text1"/>
          <w:lang w:val="en" w:eastAsia="pl-PL"/>
        </w:rPr>
        <w:t xml:space="preserve"> on State aid to airports and airlines</w:t>
      </w:r>
      <w:r w:rsidR="006D7D52" w:rsidRPr="004B58CA">
        <w:rPr>
          <w:rStyle w:val="Odwoanieprzypisudolnego"/>
          <w:rFonts w:cs="Calibri"/>
          <w:bCs/>
          <w:lang w:val="en-GB"/>
        </w:rPr>
        <w:footnoteReference w:id="2"/>
      </w:r>
      <w:r w:rsidR="008C7192">
        <w:rPr>
          <w:rFonts w:eastAsia="Times New Roman" w:cs="Lucida Sans Unicode"/>
          <w:b/>
          <w:bCs/>
          <w:color w:val="000000" w:themeColor="text1"/>
          <w:lang w:val="en" w:eastAsia="pl-PL"/>
        </w:rPr>
        <w:t xml:space="preserve"> </w:t>
      </w:r>
      <w:r w:rsidR="008C7192" w:rsidRPr="008C7192">
        <w:rPr>
          <w:rFonts w:eastAsia="Times New Roman" w:cs="Lucida Sans Unicode"/>
          <w:bCs/>
          <w:color w:val="000000" w:themeColor="text1"/>
          <w:lang w:val="en" w:eastAsia="pl-PL"/>
        </w:rPr>
        <w:t>and</w:t>
      </w:r>
      <w:r w:rsidR="008C7192">
        <w:rPr>
          <w:rFonts w:eastAsia="Times New Roman" w:cs="Lucida Sans Unicode"/>
          <w:b/>
          <w:bCs/>
          <w:color w:val="000000" w:themeColor="text1"/>
          <w:lang w:val="en" w:eastAsia="pl-PL"/>
        </w:rPr>
        <w:t xml:space="preserve"> </w:t>
      </w:r>
      <w:r w:rsidR="008C7192">
        <w:rPr>
          <w:rFonts w:eastAsia="Times New Roman" w:cs="Lucida Sans Unicode"/>
          <w:bCs/>
          <w:color w:val="000000" w:themeColor="text1"/>
          <w:lang w:val="en" w:eastAsia="pl-PL"/>
        </w:rPr>
        <w:t>providing characteristic of</w:t>
      </w:r>
      <w:r w:rsidR="00525169">
        <w:rPr>
          <w:rFonts w:eastAsia="Times New Roman" w:cs="Lucida Sans Unicode"/>
          <w:bCs/>
          <w:color w:val="000000" w:themeColor="text1"/>
          <w:lang w:val="en" w:eastAsia="pl-PL"/>
        </w:rPr>
        <w:t xml:space="preserve"> the</w:t>
      </w:r>
      <w:r w:rsidR="008C7192">
        <w:rPr>
          <w:rFonts w:eastAsia="Times New Roman" w:cs="Lucida Sans Unicode"/>
          <w:bCs/>
          <w:color w:val="000000" w:themeColor="text1"/>
          <w:lang w:val="en" w:eastAsia="pl-PL"/>
        </w:rPr>
        <w:t xml:space="preserve"> illegal state aid.</w:t>
      </w:r>
      <w:r w:rsidR="00FA2D2A">
        <w:rPr>
          <w:rFonts w:eastAsia="Times New Roman" w:cs="Lucida Sans Unicode"/>
          <w:bCs/>
          <w:color w:val="000000" w:themeColor="text1"/>
          <w:lang w:val="en" w:eastAsia="pl-PL"/>
        </w:rPr>
        <w:t xml:space="preserve"> </w:t>
      </w:r>
      <w:r w:rsidR="006D7D52" w:rsidRPr="004B58CA">
        <w:rPr>
          <w:rFonts w:eastAsia="Times New Roman" w:cs="Lucida Sans Unicode"/>
          <w:b/>
          <w:bCs/>
          <w:vanish/>
          <w:color w:val="444444"/>
          <w:lang w:val="en" w:eastAsia="pl-PL"/>
        </w:rPr>
        <w:t>Communication from the Commission — Guidelines on State aid to airports and airlines</w:t>
      </w:r>
    </w:p>
    <w:p w:rsidR="00847550" w:rsidRPr="004B58CA" w:rsidRDefault="00847550" w:rsidP="0050019B">
      <w:pPr>
        <w:spacing w:after="0"/>
        <w:jc w:val="both"/>
        <w:rPr>
          <w:lang w:val="en-GB"/>
        </w:rPr>
      </w:pPr>
    </w:p>
    <w:p w:rsidR="00EE7635" w:rsidRPr="004B58CA" w:rsidRDefault="00873916" w:rsidP="0050019B">
      <w:pPr>
        <w:spacing w:after="0"/>
        <w:jc w:val="both"/>
        <w:rPr>
          <w:lang w:val="en-GB"/>
        </w:rPr>
      </w:pPr>
      <w:r w:rsidRPr="004B58CA">
        <w:rPr>
          <w:lang w:val="en-GB"/>
        </w:rPr>
        <w:t xml:space="preserve">Finally </w:t>
      </w:r>
      <w:r w:rsidRPr="004B58CA">
        <w:rPr>
          <w:b/>
          <w:lang w:val="en-GB"/>
        </w:rPr>
        <w:t>Mr Piotr P. Dziubak</w:t>
      </w:r>
      <w:r w:rsidR="00EE7635" w:rsidRPr="004B58CA">
        <w:rPr>
          <w:lang w:val="en-GB"/>
        </w:rPr>
        <w:t xml:space="preserve"> gave the presentation on air transport connectivity</w:t>
      </w:r>
      <w:r w:rsidR="0063486C">
        <w:rPr>
          <w:lang w:val="en-GB"/>
        </w:rPr>
        <w:t>,</w:t>
      </w:r>
      <w:r w:rsidR="00EE7635" w:rsidRPr="004B58CA">
        <w:rPr>
          <w:lang w:val="en-GB"/>
        </w:rPr>
        <w:t xml:space="preserve"> providing definitions for connectivity and </w:t>
      </w:r>
      <w:r w:rsidR="0063486C">
        <w:rPr>
          <w:lang w:val="en-GB"/>
        </w:rPr>
        <w:t xml:space="preserve">describing </w:t>
      </w:r>
      <w:r w:rsidR="00EE7635" w:rsidRPr="004B58CA">
        <w:rPr>
          <w:lang w:val="en-GB"/>
        </w:rPr>
        <w:t xml:space="preserve">models used to measure it. </w:t>
      </w:r>
    </w:p>
    <w:p w:rsidR="008052D9" w:rsidRDefault="0063486C" w:rsidP="0050019B">
      <w:pPr>
        <w:spacing w:after="0"/>
        <w:jc w:val="both"/>
        <w:rPr>
          <w:rFonts w:cs="Calibri"/>
          <w:bCs/>
          <w:lang w:val="en-GB"/>
        </w:rPr>
      </w:pPr>
      <w:r>
        <w:rPr>
          <w:lang w:val="en-GB"/>
        </w:rPr>
        <w:t xml:space="preserve">During </w:t>
      </w:r>
      <w:r w:rsidR="00EE7635" w:rsidRPr="004B58CA">
        <w:rPr>
          <w:lang w:val="en-GB"/>
        </w:rPr>
        <w:t>the finals session the experts</w:t>
      </w:r>
      <w:r>
        <w:rPr>
          <w:lang w:val="en-GB"/>
        </w:rPr>
        <w:t>,</w:t>
      </w:r>
      <w:r w:rsidR="00EE7635" w:rsidRPr="004B58CA">
        <w:rPr>
          <w:lang w:val="en-GB"/>
        </w:rPr>
        <w:t xml:space="preserve"> together with the participants of the workshop from all Western Balkan states</w:t>
      </w:r>
      <w:r>
        <w:rPr>
          <w:lang w:val="en-GB"/>
        </w:rPr>
        <w:t>,</w:t>
      </w:r>
      <w:r w:rsidR="00EE7635" w:rsidRPr="004B58CA">
        <w:rPr>
          <w:lang w:val="en-GB"/>
        </w:rPr>
        <w:t xml:space="preserve"> discussed possible measures to improve air transport connectivity of the Western Balkans from regional perspective (</w:t>
      </w:r>
      <w:r w:rsidR="008052D9" w:rsidRPr="004B58CA">
        <w:rPr>
          <w:lang w:val="en-GB"/>
        </w:rPr>
        <w:t>enhancing</w:t>
      </w:r>
      <w:r w:rsidR="00EE7635" w:rsidRPr="004B58CA">
        <w:rPr>
          <w:lang w:val="en-GB"/>
        </w:rPr>
        <w:t xml:space="preserve"> intra-connectivity within the Western Balkan region) and air transport connectivity with the major hubs.</w:t>
      </w:r>
    </w:p>
    <w:p w:rsidR="008C7192" w:rsidRDefault="00FA2D2A" w:rsidP="0050019B">
      <w:pPr>
        <w:spacing w:after="0"/>
        <w:jc w:val="both"/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>The w</w:t>
      </w:r>
      <w:r w:rsidR="008C7192">
        <w:rPr>
          <w:rFonts w:cs="Calibri"/>
          <w:bCs/>
          <w:lang w:val="en-GB"/>
        </w:rPr>
        <w:t>orkshop has shown that further actions are needed in particular on the implementation on European Common Aviation Area agreement that all Western Balkans countries are parties.</w:t>
      </w:r>
    </w:p>
    <w:p w:rsidR="008C7192" w:rsidRDefault="008C7192" w:rsidP="0050019B">
      <w:pPr>
        <w:spacing w:after="0"/>
        <w:jc w:val="both"/>
        <w:rPr>
          <w:rFonts w:cs="Calibri"/>
          <w:bCs/>
          <w:lang w:val="en-GB"/>
        </w:rPr>
      </w:pPr>
    </w:p>
    <w:p w:rsidR="0063486C" w:rsidRPr="008052D9" w:rsidRDefault="0063486C" w:rsidP="0050019B">
      <w:pPr>
        <w:spacing w:after="0"/>
        <w:jc w:val="both"/>
        <w:rPr>
          <w:rFonts w:cs="Calibri"/>
          <w:bCs/>
          <w:lang w:val="en-GB"/>
        </w:rPr>
      </w:pPr>
      <w:r w:rsidRPr="008052D9">
        <w:rPr>
          <w:b/>
          <w:u w:val="single"/>
          <w:lang w:val="en-US"/>
        </w:rPr>
        <w:t>TAIEX</w:t>
      </w:r>
      <w:r w:rsidRPr="008052D9">
        <w:rPr>
          <w:lang w:val="en-US"/>
        </w:rPr>
        <w:t xml:space="preserve"> is a Technical Assistance and Information Exchange instrument of the European Commission.</w:t>
      </w:r>
      <w:r w:rsidRPr="008052D9">
        <w:rPr>
          <w:rStyle w:val="Odwoanieprzypisudolnego"/>
          <w:lang w:val="en-US"/>
        </w:rPr>
        <w:footnoteReference w:id="3"/>
      </w:r>
      <w:r w:rsidRPr="008052D9">
        <w:rPr>
          <w:lang w:val="en-GB"/>
        </w:rPr>
        <w:t xml:space="preserve"> </w:t>
      </w:r>
      <w:r w:rsidRPr="008052D9">
        <w:rPr>
          <w:rFonts w:cs="Arial"/>
          <w:lang w:val="en"/>
        </w:rPr>
        <w:t xml:space="preserve">TAIEX supports public administrations of </w:t>
      </w:r>
      <w:r w:rsidR="008052D9" w:rsidRPr="008052D9">
        <w:rPr>
          <w:rFonts w:cs="Arial"/>
          <w:lang w:val="en"/>
        </w:rPr>
        <w:t>neighboring</w:t>
      </w:r>
      <w:r w:rsidRPr="008052D9">
        <w:rPr>
          <w:rFonts w:cs="Arial"/>
          <w:lang w:val="en"/>
        </w:rPr>
        <w:t xml:space="preserve"> to the EU </w:t>
      </w:r>
      <w:r w:rsidR="008052D9" w:rsidRPr="008052D9">
        <w:rPr>
          <w:rFonts w:cs="Arial"/>
          <w:lang w:val="en"/>
        </w:rPr>
        <w:t>countries</w:t>
      </w:r>
      <w:r w:rsidRPr="008052D9">
        <w:rPr>
          <w:rStyle w:val="Odwoanieprzypisudolnego"/>
          <w:rFonts w:cs="Arial"/>
          <w:lang w:val="en"/>
        </w:rPr>
        <w:footnoteReference w:id="4"/>
      </w:r>
      <w:r w:rsidRPr="008052D9">
        <w:rPr>
          <w:rFonts w:cs="Arial"/>
          <w:lang w:val="en"/>
        </w:rPr>
        <w:t xml:space="preserve"> with regard to the approximation, application and enforcement of EU legislation as well as facilitating the sharing of EU best practices</w:t>
      </w:r>
      <w:r w:rsidR="008C7192">
        <w:rPr>
          <w:rFonts w:cs="Arial"/>
          <w:lang w:val="en"/>
        </w:rPr>
        <w:t xml:space="preserve"> in three ways: workshops, expert missions and study visits</w:t>
      </w:r>
      <w:r w:rsidRPr="008052D9">
        <w:rPr>
          <w:rFonts w:cs="Arial"/>
          <w:lang w:val="en"/>
        </w:rPr>
        <w:t>.</w:t>
      </w:r>
    </w:p>
    <w:p w:rsidR="0063486C" w:rsidRDefault="0063486C" w:rsidP="0050019B">
      <w:pPr>
        <w:spacing w:after="0"/>
        <w:jc w:val="both"/>
        <w:rPr>
          <w:lang w:val="en-GB"/>
        </w:rPr>
      </w:pPr>
    </w:p>
    <w:p w:rsidR="008052D9" w:rsidRDefault="008052D9">
      <w:pPr>
        <w:rPr>
          <w:lang w:val="en-GB"/>
        </w:rPr>
      </w:pPr>
      <w:r>
        <w:rPr>
          <w:lang w:val="en-GB"/>
        </w:rPr>
        <w:br w:type="page"/>
      </w:r>
    </w:p>
    <w:p w:rsidR="008052D9" w:rsidRPr="0050019B" w:rsidRDefault="008052D9" w:rsidP="0050019B">
      <w:pPr>
        <w:spacing w:after="0"/>
        <w:jc w:val="both"/>
        <w:rPr>
          <w:b/>
          <w:color w:val="000000" w:themeColor="text1"/>
        </w:rPr>
      </w:pPr>
      <w:r w:rsidRPr="0050019B">
        <w:rPr>
          <w:b/>
          <w:color w:val="000000" w:themeColor="text1"/>
        </w:rPr>
        <w:lastRenderedPageBreak/>
        <w:t xml:space="preserve">Eksperci CARS wsparli kraje Bałkanów Zachodnich w działaniach służących poprawie łączności lotniczej </w:t>
      </w:r>
    </w:p>
    <w:p w:rsidR="00A24643" w:rsidRPr="0050019B" w:rsidRDefault="00A24643" w:rsidP="0050019B">
      <w:pPr>
        <w:spacing w:after="0"/>
        <w:jc w:val="both"/>
        <w:rPr>
          <w:rFonts w:cs="Arial"/>
          <w:color w:val="000000" w:themeColor="text1"/>
        </w:rPr>
      </w:pPr>
      <w:r w:rsidRPr="0050019B">
        <w:rPr>
          <w:rFonts w:cs="Arial"/>
          <w:color w:val="000000" w:themeColor="text1"/>
        </w:rPr>
        <w:t xml:space="preserve">Eksperci CARS uczestniczyli w </w:t>
      </w:r>
      <w:r w:rsidRPr="0050019B">
        <w:rPr>
          <w:rFonts w:cs="Arial"/>
          <w:i/>
          <w:color w:val="000000" w:themeColor="text1"/>
        </w:rPr>
        <w:t>Wielostronnych warsztatach TAIEX dotyczących zobowiązań w zakresie usług publicznych i zasad pomocy państwa w lotnictwie: rozważania na rzecz poprawy łączności lotniczej na Bałkanach Zachodnich,</w:t>
      </w:r>
      <w:r w:rsidRPr="0050019B">
        <w:rPr>
          <w:rFonts w:cs="Arial"/>
          <w:color w:val="000000" w:themeColor="text1"/>
        </w:rPr>
        <w:t xml:space="preserve"> zorganizowanych w dniach 25-26 lipca 2018 r. w Podgoricy przez Urząd Lotnictwa Cywilnego Czarnogóry i Komisję Europejską.</w:t>
      </w:r>
    </w:p>
    <w:p w:rsidR="00A24643" w:rsidRPr="0050019B" w:rsidRDefault="0050019B" w:rsidP="0050019B">
      <w:pPr>
        <w:spacing w:after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Po wprowadzeniu </w:t>
      </w:r>
      <w:r w:rsidRPr="000E0555">
        <w:rPr>
          <w:rFonts w:cs="Arial"/>
          <w:b/>
          <w:color w:val="000000" w:themeColor="text1"/>
        </w:rPr>
        <w:t>p</w:t>
      </w:r>
      <w:r w:rsidR="00A24643" w:rsidRPr="000E0555">
        <w:rPr>
          <w:rFonts w:cs="Arial"/>
          <w:b/>
          <w:color w:val="000000" w:themeColor="text1"/>
        </w:rPr>
        <w:t>ana</w:t>
      </w:r>
      <w:r w:rsidR="00A24643" w:rsidRPr="0050019B">
        <w:rPr>
          <w:rFonts w:cs="Arial"/>
          <w:color w:val="000000" w:themeColor="text1"/>
        </w:rPr>
        <w:t xml:space="preserve"> </w:t>
      </w:r>
      <w:r w:rsidR="00A24643" w:rsidRPr="000E0555">
        <w:rPr>
          <w:rFonts w:cs="Arial"/>
          <w:b/>
          <w:color w:val="000000" w:themeColor="text1"/>
        </w:rPr>
        <w:t xml:space="preserve">Mateja </w:t>
      </w:r>
      <w:proofErr w:type="spellStart"/>
      <w:r w:rsidR="00A24643" w:rsidRPr="000E0555">
        <w:rPr>
          <w:rFonts w:cs="Arial"/>
          <w:b/>
          <w:color w:val="000000" w:themeColor="text1"/>
        </w:rPr>
        <w:t>Gjorgjievskiego</w:t>
      </w:r>
      <w:proofErr w:type="spellEnd"/>
      <w:r w:rsidR="00A24643" w:rsidRPr="0050019B">
        <w:rPr>
          <w:rFonts w:cs="Arial"/>
          <w:color w:val="000000" w:themeColor="text1"/>
        </w:rPr>
        <w:t xml:space="preserve">, </w:t>
      </w:r>
      <w:proofErr w:type="spellStart"/>
      <w:r w:rsidR="00A24643" w:rsidRPr="0050019B">
        <w:rPr>
          <w:rFonts w:cs="Arial"/>
          <w:color w:val="000000" w:themeColor="text1"/>
        </w:rPr>
        <w:t>ekperta</w:t>
      </w:r>
      <w:proofErr w:type="spellEnd"/>
      <w:r w:rsidR="00A24643" w:rsidRPr="0050019B">
        <w:rPr>
          <w:rFonts w:cs="Arial"/>
          <w:color w:val="000000" w:themeColor="text1"/>
        </w:rPr>
        <w:t xml:space="preserve"> ds. polityki transportowej i prawnika </w:t>
      </w:r>
      <w:r w:rsidRPr="0050019B">
        <w:rPr>
          <w:rFonts w:cs="Arial"/>
          <w:color w:val="000000" w:themeColor="text1"/>
        </w:rPr>
        <w:br/>
      </w:r>
      <w:r w:rsidR="00A24643" w:rsidRPr="0050019B">
        <w:rPr>
          <w:rFonts w:cs="Arial"/>
          <w:color w:val="000000" w:themeColor="text1"/>
        </w:rPr>
        <w:t xml:space="preserve">z Obserwatorium Transportu w Europie Południowo-Wschodniej (SEETO, Belgrad) oraz profesora Petera </w:t>
      </w:r>
      <w:proofErr w:type="spellStart"/>
      <w:r w:rsidR="00A24643" w:rsidRPr="0050019B">
        <w:rPr>
          <w:rFonts w:cs="Arial"/>
          <w:color w:val="000000" w:themeColor="text1"/>
        </w:rPr>
        <w:t>Haanappela</w:t>
      </w:r>
      <w:proofErr w:type="spellEnd"/>
      <w:r w:rsidR="00A24643" w:rsidRPr="0050019B">
        <w:rPr>
          <w:rFonts w:cs="Arial"/>
          <w:color w:val="000000" w:themeColor="text1"/>
        </w:rPr>
        <w:t xml:space="preserve"> z Międzynarodowego Instytutu Prawa Lotniczego i Kosmicznego </w:t>
      </w:r>
      <w:r>
        <w:rPr>
          <w:rFonts w:cs="Arial"/>
          <w:color w:val="000000" w:themeColor="text1"/>
        </w:rPr>
        <w:t>na Uniwersytecie</w:t>
      </w:r>
      <w:r w:rsidR="00A24643" w:rsidRPr="0050019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w </w:t>
      </w:r>
      <w:proofErr w:type="spellStart"/>
      <w:r w:rsidR="00A24643" w:rsidRPr="0050019B">
        <w:rPr>
          <w:rFonts w:cs="Arial"/>
          <w:color w:val="000000" w:themeColor="text1"/>
        </w:rPr>
        <w:t>Leyden</w:t>
      </w:r>
      <w:proofErr w:type="spellEnd"/>
      <w:r w:rsidR="00A24643" w:rsidRPr="0050019B">
        <w:rPr>
          <w:rFonts w:cs="Arial"/>
          <w:color w:val="000000" w:themeColor="text1"/>
        </w:rPr>
        <w:t xml:space="preserve"> (Holandia), </w:t>
      </w:r>
      <w:r w:rsidR="00FA2D2A">
        <w:rPr>
          <w:rFonts w:cs="Arial"/>
          <w:b/>
          <w:color w:val="000000" w:themeColor="text1"/>
        </w:rPr>
        <w:t>dr</w:t>
      </w:r>
      <w:r w:rsidR="00A24643" w:rsidRPr="000E0555">
        <w:rPr>
          <w:rFonts w:cs="Arial"/>
          <w:b/>
          <w:color w:val="000000" w:themeColor="text1"/>
        </w:rPr>
        <w:t xml:space="preserve"> Jan Walulik</w:t>
      </w:r>
      <w:r w:rsidR="00A24643" w:rsidRPr="0050019B">
        <w:rPr>
          <w:rFonts w:cs="Arial"/>
          <w:color w:val="000000" w:themeColor="text1"/>
        </w:rPr>
        <w:t>, Kierownik Laboratorium Lotnictwa Cywilnego w CARS, wygłosił wykład na temat obowiązku użyteczności publicznej w lotnictwie, odnosząc się do rozporządzenia PE i Rady nr 1008/2008 oraz wytycznych PSO</w:t>
      </w:r>
      <w:r w:rsidR="00A24643" w:rsidRPr="0050019B">
        <w:rPr>
          <w:rStyle w:val="Odwoanieprzypisudolnego"/>
          <w:rFonts w:cs="Calibri"/>
          <w:bCs/>
          <w:color w:val="000000" w:themeColor="text1"/>
          <w:lang w:val="en-GB"/>
        </w:rPr>
        <w:footnoteReference w:id="5"/>
      </w:r>
      <w:r w:rsidR="00A24643" w:rsidRPr="0050019B">
        <w:rPr>
          <w:rFonts w:cs="Arial"/>
          <w:color w:val="000000" w:themeColor="text1"/>
        </w:rPr>
        <w:t>, a także przybliżając historię PSO w Europie i innych krajach oraz najlepsze praktyki z tego zakresu w UE.</w:t>
      </w:r>
    </w:p>
    <w:p w:rsidR="0050019B" w:rsidRDefault="00A24643" w:rsidP="0050019B">
      <w:pPr>
        <w:spacing w:after="0"/>
        <w:jc w:val="both"/>
        <w:rPr>
          <w:rFonts w:cs="Arial"/>
          <w:color w:val="000000" w:themeColor="text1"/>
        </w:rPr>
      </w:pPr>
      <w:r w:rsidRPr="0050019B">
        <w:rPr>
          <w:rFonts w:cs="Arial"/>
          <w:color w:val="000000" w:themeColor="text1"/>
        </w:rPr>
        <w:t xml:space="preserve">Następnie </w:t>
      </w:r>
      <w:r w:rsidR="00FA2D2A">
        <w:rPr>
          <w:rFonts w:cs="Arial"/>
          <w:b/>
          <w:color w:val="000000" w:themeColor="text1"/>
        </w:rPr>
        <w:t xml:space="preserve">dr </w:t>
      </w:r>
      <w:r w:rsidRPr="000E0555">
        <w:rPr>
          <w:rFonts w:cs="Arial"/>
          <w:b/>
          <w:color w:val="000000" w:themeColor="text1"/>
        </w:rPr>
        <w:t xml:space="preserve">Paweł </w:t>
      </w:r>
      <w:proofErr w:type="spellStart"/>
      <w:r w:rsidRPr="000E0555">
        <w:rPr>
          <w:rFonts w:cs="Arial"/>
          <w:b/>
          <w:color w:val="000000" w:themeColor="text1"/>
        </w:rPr>
        <w:t>Zagrajek</w:t>
      </w:r>
      <w:proofErr w:type="spellEnd"/>
      <w:r w:rsidRPr="0050019B">
        <w:rPr>
          <w:rFonts w:cs="Arial"/>
          <w:color w:val="000000" w:themeColor="text1"/>
        </w:rPr>
        <w:t xml:space="preserve"> przedstawił zasady pomocy państwa dla linii lotniczych i portów lotniczych, odnosząc się do wytycznych w sprawie pomocy państwa na rzecz portów lotniczych i linii lotniczych</w:t>
      </w:r>
      <w:r w:rsidRPr="0050019B">
        <w:rPr>
          <w:rStyle w:val="Odwoanieprzypisudolnego"/>
          <w:rFonts w:cs="Calibri"/>
          <w:bCs/>
          <w:color w:val="000000" w:themeColor="text1"/>
          <w:lang w:val="en-GB"/>
        </w:rPr>
        <w:footnoteReference w:id="6"/>
      </w:r>
      <w:r w:rsidRPr="0050019B">
        <w:rPr>
          <w:rFonts w:cs="Arial"/>
          <w:color w:val="000000" w:themeColor="text1"/>
        </w:rPr>
        <w:t xml:space="preserve"> oraz podając charakterystykę nielegalnej pomocy państwa.</w:t>
      </w:r>
    </w:p>
    <w:p w:rsidR="0050019B" w:rsidRDefault="00A24643" w:rsidP="0050019B">
      <w:pPr>
        <w:spacing w:after="0"/>
        <w:jc w:val="both"/>
        <w:rPr>
          <w:rFonts w:cs="Arial"/>
          <w:color w:val="000000" w:themeColor="text1"/>
        </w:rPr>
      </w:pPr>
      <w:r w:rsidRPr="0050019B">
        <w:rPr>
          <w:rFonts w:cs="Arial"/>
          <w:color w:val="000000" w:themeColor="text1"/>
        </w:rPr>
        <w:t xml:space="preserve">Na koniec </w:t>
      </w:r>
      <w:r w:rsidR="0050019B" w:rsidRPr="000E0555">
        <w:rPr>
          <w:rFonts w:cs="Arial"/>
          <w:b/>
          <w:color w:val="000000" w:themeColor="text1"/>
        </w:rPr>
        <w:t>p</w:t>
      </w:r>
      <w:r w:rsidRPr="000E0555">
        <w:rPr>
          <w:rFonts w:cs="Arial"/>
          <w:b/>
          <w:color w:val="000000" w:themeColor="text1"/>
        </w:rPr>
        <w:t>an Piotr P. Dziubak</w:t>
      </w:r>
      <w:r w:rsidRPr="0050019B">
        <w:rPr>
          <w:rFonts w:cs="Arial"/>
          <w:color w:val="000000" w:themeColor="text1"/>
        </w:rPr>
        <w:t xml:space="preserve"> wygłosił prezentację na temat łączności lotniczej, zawierającą definicje łączności lotniczej oraz opis modeli używanych do jej pomiaru.</w:t>
      </w:r>
    </w:p>
    <w:p w:rsidR="0050019B" w:rsidRDefault="00A24643" w:rsidP="0050019B">
      <w:pPr>
        <w:spacing w:after="0"/>
        <w:jc w:val="both"/>
        <w:rPr>
          <w:rFonts w:cs="Arial"/>
          <w:color w:val="000000" w:themeColor="text1"/>
        </w:rPr>
      </w:pPr>
      <w:r w:rsidRPr="0050019B">
        <w:rPr>
          <w:rFonts w:cs="Arial"/>
          <w:color w:val="000000" w:themeColor="text1"/>
        </w:rPr>
        <w:t>Podczas sesji finałowej eksperci wspólnie z uczestnikami warsztatów ze wszystkich państw Bałkanów Zachodnich omówili możliwe działania służące poprawie łączności lotniczej Bałkanów Zachodnich, zarówno z perspektywy regionalnej (wzmocnienie łączności wewnętrznej w regionie Bałkanów Zachodnich), jak i łączności lotniczej z głównymi hubami.</w:t>
      </w:r>
      <w:bookmarkStart w:id="0" w:name="_GoBack"/>
      <w:bookmarkEnd w:id="0"/>
    </w:p>
    <w:p w:rsidR="00A24643" w:rsidRPr="0050019B" w:rsidRDefault="00A24643" w:rsidP="0050019B">
      <w:pPr>
        <w:spacing w:after="0"/>
        <w:jc w:val="both"/>
        <w:rPr>
          <w:rFonts w:cs="Arial"/>
          <w:color w:val="000000" w:themeColor="text1"/>
        </w:rPr>
      </w:pPr>
      <w:r w:rsidRPr="0050019B">
        <w:rPr>
          <w:rFonts w:cs="Arial"/>
          <w:color w:val="000000" w:themeColor="text1"/>
        </w:rPr>
        <w:t xml:space="preserve">Warsztat wykazał, że potrzebne są dalsze działania, w szczególności w zakresie wdrażania umowy </w:t>
      </w:r>
      <w:r w:rsidR="0050019B">
        <w:rPr>
          <w:rFonts w:cs="Arial"/>
          <w:color w:val="000000" w:themeColor="text1"/>
        </w:rPr>
        <w:br/>
      </w:r>
      <w:r w:rsidRPr="0050019B">
        <w:rPr>
          <w:rFonts w:cs="Arial"/>
          <w:color w:val="000000" w:themeColor="text1"/>
        </w:rPr>
        <w:t>o Wspólnym Europejskim Obszarze Lotniczym, której stronami są wszystkie państwa Bałkanów Zachodnich.</w:t>
      </w:r>
    </w:p>
    <w:p w:rsidR="0050019B" w:rsidRDefault="0050019B" w:rsidP="0050019B">
      <w:pPr>
        <w:spacing w:after="0"/>
        <w:jc w:val="both"/>
        <w:rPr>
          <w:b/>
          <w:color w:val="000000" w:themeColor="text1"/>
          <w:u w:val="single"/>
        </w:rPr>
      </w:pPr>
    </w:p>
    <w:p w:rsidR="00CC6D7A" w:rsidRPr="0050019B" w:rsidRDefault="008C7192" w:rsidP="0050019B">
      <w:pPr>
        <w:spacing w:after="0"/>
        <w:jc w:val="both"/>
        <w:rPr>
          <w:color w:val="000000" w:themeColor="text1"/>
        </w:rPr>
      </w:pPr>
      <w:r w:rsidRPr="0050019B">
        <w:rPr>
          <w:b/>
          <w:color w:val="000000" w:themeColor="text1"/>
          <w:u w:val="single"/>
        </w:rPr>
        <w:t>TAIEX</w:t>
      </w:r>
      <w:r w:rsidRPr="0050019B">
        <w:rPr>
          <w:color w:val="000000" w:themeColor="text1"/>
        </w:rPr>
        <w:t xml:space="preserve"> pochodzi od Technical Assistance and Information Exchange – instrument Komisji Europejskiej.</w:t>
      </w:r>
      <w:r w:rsidRPr="0050019B">
        <w:rPr>
          <w:rStyle w:val="Odwoanieprzypisudolnego"/>
          <w:color w:val="000000" w:themeColor="text1"/>
          <w:lang w:val="en-US"/>
        </w:rPr>
        <w:footnoteReference w:id="7"/>
      </w:r>
      <w:r w:rsidRPr="0050019B">
        <w:rPr>
          <w:color w:val="000000" w:themeColor="text1"/>
        </w:rPr>
        <w:t xml:space="preserve"> TAIEX wspiera administrację publiczną państw sąsiadujących z Unią Europejską</w:t>
      </w:r>
      <w:r w:rsidRPr="0050019B">
        <w:rPr>
          <w:rStyle w:val="Odwoanieprzypisudolnego"/>
          <w:color w:val="000000" w:themeColor="text1"/>
        </w:rPr>
        <w:footnoteReference w:id="8"/>
      </w:r>
      <w:r w:rsidRPr="0050019B">
        <w:rPr>
          <w:color w:val="000000" w:themeColor="text1"/>
        </w:rPr>
        <w:t xml:space="preserve"> </w:t>
      </w:r>
      <w:r w:rsidRPr="0050019B">
        <w:rPr>
          <w:color w:val="000000" w:themeColor="text1"/>
        </w:rPr>
        <w:br/>
        <w:t>w zakresie dostosowania, przyjmowania oraz wdrażania legislacji unijnej, a także dzielenia się najlepszymi praktykami prowadząc trzy rodzaje działań: warsztaty, misje eksperckie oraz wizyty studyjne.</w:t>
      </w:r>
    </w:p>
    <w:sectPr w:rsidR="00CC6D7A" w:rsidRPr="0050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E3E" w:rsidRDefault="00AB1E3E" w:rsidP="00372717">
      <w:pPr>
        <w:spacing w:after="0" w:line="240" w:lineRule="auto"/>
      </w:pPr>
      <w:r>
        <w:separator/>
      </w:r>
    </w:p>
  </w:endnote>
  <w:endnote w:type="continuationSeparator" w:id="0">
    <w:p w:rsidR="00AB1E3E" w:rsidRDefault="00AB1E3E" w:rsidP="0037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E3E" w:rsidRDefault="00AB1E3E" w:rsidP="00372717">
      <w:pPr>
        <w:spacing w:after="0" w:line="240" w:lineRule="auto"/>
      </w:pPr>
      <w:r>
        <w:separator/>
      </w:r>
    </w:p>
  </w:footnote>
  <w:footnote w:type="continuationSeparator" w:id="0">
    <w:p w:rsidR="00AB1E3E" w:rsidRDefault="00AB1E3E" w:rsidP="00372717">
      <w:pPr>
        <w:spacing w:after="0" w:line="240" w:lineRule="auto"/>
      </w:pPr>
      <w:r>
        <w:continuationSeparator/>
      </w:r>
    </w:p>
  </w:footnote>
  <w:footnote w:id="1">
    <w:p w:rsidR="00847550" w:rsidRPr="004B58CA" w:rsidRDefault="00847550">
      <w:pPr>
        <w:pStyle w:val="Tekstprzypisudolnego"/>
        <w:rPr>
          <w:b/>
          <w:lang w:val="en-GB"/>
        </w:rPr>
      </w:pPr>
      <w:r>
        <w:rPr>
          <w:rStyle w:val="Odwoanieprzypisudolnego"/>
        </w:rPr>
        <w:footnoteRef/>
      </w:r>
      <w:r w:rsidRPr="00847550">
        <w:rPr>
          <w:lang w:val="en-GB"/>
        </w:rPr>
        <w:t xml:space="preserve"> </w:t>
      </w:r>
      <w:r w:rsidRPr="004B58CA">
        <w:rPr>
          <w:rStyle w:val="Pogrubienie"/>
          <w:rFonts w:cs="Lucida Sans Unicode"/>
          <w:b w:val="0"/>
          <w:color w:val="444444"/>
          <w:lang w:val="en"/>
        </w:rPr>
        <w:t xml:space="preserve">Commission Notice — </w:t>
      </w:r>
      <w:hyperlink r:id="rId1" w:history="1">
        <w:r w:rsidRPr="004B58CA">
          <w:rPr>
            <w:rStyle w:val="Hipercze"/>
            <w:rFonts w:cs="Lucida Sans Unicode"/>
            <w:lang w:val="en"/>
          </w:rPr>
          <w:t>Interpretative guidelines on Regulation (EC) No 1008/2008 of the European Parliament and of the Council — Public Service Obligations (PSO)</w:t>
        </w:r>
      </w:hyperlink>
      <w:r w:rsidRPr="004B58CA">
        <w:rPr>
          <w:rStyle w:val="Pogrubienie"/>
          <w:rFonts w:cs="Lucida Sans Unicode"/>
          <w:b w:val="0"/>
          <w:color w:val="444444"/>
          <w:lang w:val="en"/>
        </w:rPr>
        <w:t xml:space="preserve">, </w:t>
      </w:r>
      <w:r w:rsidR="004B58CA" w:rsidRPr="004B58CA">
        <w:rPr>
          <w:color w:val="000000"/>
          <w:lang w:val="en-GB"/>
        </w:rPr>
        <w:t>2017/C 194/01</w:t>
      </w:r>
    </w:p>
  </w:footnote>
  <w:footnote w:id="2">
    <w:p w:rsidR="006D7D52" w:rsidRPr="004B58CA" w:rsidRDefault="006D7D52">
      <w:pPr>
        <w:pStyle w:val="Tekstprzypisudolnego"/>
        <w:rPr>
          <w:lang w:val="en-GB"/>
        </w:rPr>
      </w:pPr>
      <w:r w:rsidRPr="004B58CA">
        <w:rPr>
          <w:rStyle w:val="Odwoanieprzypisudolnego"/>
        </w:rPr>
        <w:footnoteRef/>
      </w:r>
      <w:r w:rsidRPr="004B58CA">
        <w:rPr>
          <w:lang w:val="en-GB"/>
        </w:rPr>
        <w:t xml:space="preserve"> Communication from the Commission </w:t>
      </w:r>
      <w:hyperlink r:id="rId2" w:history="1">
        <w:r w:rsidRPr="004B58CA">
          <w:rPr>
            <w:rStyle w:val="Hipercze"/>
            <w:rFonts w:eastAsia="Times New Roman" w:cs="Lucida Sans Unicode"/>
            <w:b/>
            <w:bCs/>
            <w:lang w:val="en" w:eastAsia="pl-PL"/>
          </w:rPr>
          <w:t>Guidelines on State aid to airports and airlines</w:t>
        </w:r>
      </w:hyperlink>
      <w:r w:rsidRPr="004B58CA">
        <w:rPr>
          <w:lang w:val="en-GB"/>
        </w:rPr>
        <w:t xml:space="preserve">, </w:t>
      </w:r>
      <w:r w:rsidRPr="004B58CA">
        <w:rPr>
          <w:color w:val="444444"/>
          <w:lang w:val="en"/>
        </w:rPr>
        <w:t>2014/C 99/03</w:t>
      </w:r>
    </w:p>
  </w:footnote>
  <w:footnote w:id="3">
    <w:p w:rsidR="0063486C" w:rsidRPr="0063486C" w:rsidRDefault="0063486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63486C">
        <w:rPr>
          <w:lang w:val="en-GB"/>
        </w:rPr>
        <w:t xml:space="preserve"> </w:t>
      </w:r>
      <w:r>
        <w:rPr>
          <w:lang w:val="en-GB"/>
        </w:rPr>
        <w:t xml:space="preserve">More information on TAIEX at </w:t>
      </w:r>
      <w:hyperlink r:id="rId3" w:history="1">
        <w:r w:rsidRPr="00D23FD7">
          <w:rPr>
            <w:rStyle w:val="Hipercze"/>
            <w:lang w:val="en-GB"/>
          </w:rPr>
          <w:t>https://ec.europa.eu/neighbourhood-enlargement/tenders/taiex_en</w:t>
        </w:r>
      </w:hyperlink>
      <w:r>
        <w:rPr>
          <w:lang w:val="en-GB"/>
        </w:rPr>
        <w:t xml:space="preserve"> </w:t>
      </w:r>
    </w:p>
  </w:footnote>
  <w:footnote w:id="4">
    <w:p w:rsidR="0063486C" w:rsidRPr="0063486C" w:rsidRDefault="0063486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63486C">
        <w:rPr>
          <w:lang w:val="en-GB"/>
        </w:rPr>
        <w:t xml:space="preserve"> Western Balkan States (</w:t>
      </w:r>
      <w:r>
        <w:rPr>
          <w:lang w:val="en-GB"/>
        </w:rPr>
        <w:t>Albania, Bosnia and Herzegovina, Kosovo, Macedonia</w:t>
      </w:r>
      <w:r w:rsidRPr="0063486C">
        <w:rPr>
          <w:lang w:val="en-GB"/>
        </w:rPr>
        <w:t>-FYROM</w:t>
      </w:r>
      <w:r>
        <w:rPr>
          <w:lang w:val="en-GB"/>
        </w:rPr>
        <w:t>, Serbia</w:t>
      </w:r>
      <w:r w:rsidRPr="0063486C">
        <w:rPr>
          <w:lang w:val="en-GB"/>
        </w:rPr>
        <w:t xml:space="preserve">); </w:t>
      </w:r>
      <w:r>
        <w:rPr>
          <w:lang w:val="en-GB"/>
        </w:rPr>
        <w:t xml:space="preserve">South </w:t>
      </w:r>
      <w:r w:rsidR="008052D9">
        <w:rPr>
          <w:lang w:val="en-GB"/>
        </w:rPr>
        <w:t>Caucasus</w:t>
      </w:r>
      <w:r>
        <w:rPr>
          <w:lang w:val="en-GB"/>
        </w:rPr>
        <w:t xml:space="preserve"> </w:t>
      </w:r>
      <w:r w:rsidRPr="0063486C">
        <w:rPr>
          <w:lang w:val="en-GB"/>
        </w:rPr>
        <w:t>(Armeni</w:t>
      </w:r>
      <w:r>
        <w:rPr>
          <w:lang w:val="en-GB"/>
        </w:rPr>
        <w:t>a</w:t>
      </w:r>
      <w:r w:rsidRPr="0063486C">
        <w:rPr>
          <w:lang w:val="en-GB"/>
        </w:rPr>
        <w:t xml:space="preserve">, </w:t>
      </w:r>
      <w:r w:rsidR="008052D9" w:rsidRPr="0063486C">
        <w:rPr>
          <w:lang w:val="en-GB"/>
        </w:rPr>
        <w:t>Azerba</w:t>
      </w:r>
      <w:r w:rsidR="008052D9">
        <w:rPr>
          <w:lang w:val="en-GB"/>
        </w:rPr>
        <w:t>i</w:t>
      </w:r>
      <w:r w:rsidR="008052D9" w:rsidRPr="0063486C">
        <w:rPr>
          <w:lang w:val="en-GB"/>
        </w:rPr>
        <w:t>jan</w:t>
      </w:r>
      <w:r w:rsidRPr="0063486C">
        <w:rPr>
          <w:lang w:val="en-GB"/>
        </w:rPr>
        <w:t xml:space="preserve">, </w:t>
      </w:r>
      <w:r>
        <w:rPr>
          <w:lang w:val="en-GB"/>
        </w:rPr>
        <w:t>Georgia</w:t>
      </w:r>
      <w:r w:rsidRPr="0063486C">
        <w:rPr>
          <w:lang w:val="en-GB"/>
        </w:rPr>
        <w:t xml:space="preserve">), </w:t>
      </w:r>
      <w:r w:rsidR="008052D9">
        <w:rPr>
          <w:lang w:val="en-GB"/>
        </w:rPr>
        <w:t>Belarus</w:t>
      </w:r>
      <w:r w:rsidRPr="0063486C">
        <w:rPr>
          <w:lang w:val="en-GB"/>
        </w:rPr>
        <w:t xml:space="preserve">, </w:t>
      </w:r>
      <w:r>
        <w:rPr>
          <w:lang w:val="en-GB"/>
        </w:rPr>
        <w:t>Moldova</w:t>
      </w:r>
      <w:r w:rsidRPr="0063486C">
        <w:rPr>
          <w:lang w:val="en-GB"/>
        </w:rPr>
        <w:t xml:space="preserve">, </w:t>
      </w:r>
      <w:r>
        <w:rPr>
          <w:lang w:val="en-GB"/>
        </w:rPr>
        <w:t>Ukraine</w:t>
      </w:r>
      <w:r w:rsidRPr="0063486C">
        <w:rPr>
          <w:lang w:val="en-GB"/>
        </w:rPr>
        <w:t xml:space="preserve">, </w:t>
      </w:r>
      <w:r>
        <w:rPr>
          <w:lang w:val="en-GB"/>
        </w:rPr>
        <w:t xml:space="preserve">Turkey as well as </w:t>
      </w:r>
      <w:r w:rsidR="008052D9">
        <w:rPr>
          <w:lang w:val="en-GB"/>
        </w:rPr>
        <w:t>Northern</w:t>
      </w:r>
      <w:r>
        <w:rPr>
          <w:lang w:val="en-GB"/>
        </w:rPr>
        <w:t xml:space="preserve"> </w:t>
      </w:r>
      <w:r w:rsidRPr="0063486C">
        <w:rPr>
          <w:lang w:val="en-GB"/>
        </w:rPr>
        <w:t>Afr</w:t>
      </w:r>
      <w:r>
        <w:rPr>
          <w:lang w:val="en-GB"/>
        </w:rPr>
        <w:t>ica</w:t>
      </w:r>
      <w:r w:rsidRPr="0063486C">
        <w:rPr>
          <w:lang w:val="en-GB"/>
        </w:rPr>
        <w:t xml:space="preserve"> (</w:t>
      </w:r>
      <w:r w:rsidR="008052D9">
        <w:rPr>
          <w:lang w:val="en-GB"/>
        </w:rPr>
        <w:t>Algeria</w:t>
      </w:r>
      <w:r w:rsidRPr="0063486C">
        <w:rPr>
          <w:lang w:val="en-GB"/>
        </w:rPr>
        <w:t>,</w:t>
      </w:r>
      <w:r>
        <w:rPr>
          <w:lang w:val="en-GB"/>
        </w:rPr>
        <w:t xml:space="preserve"> </w:t>
      </w:r>
      <w:r w:rsidR="008052D9">
        <w:rPr>
          <w:lang w:val="en-GB"/>
        </w:rPr>
        <w:t>Egypt</w:t>
      </w:r>
      <w:r>
        <w:rPr>
          <w:lang w:val="en-GB"/>
        </w:rPr>
        <w:t>, Is</w:t>
      </w:r>
      <w:r w:rsidRPr="0063486C">
        <w:rPr>
          <w:lang w:val="en-GB"/>
        </w:rPr>
        <w:t xml:space="preserve">rael, Jordan, </w:t>
      </w:r>
      <w:r w:rsidR="008052D9" w:rsidRPr="0063486C">
        <w:rPr>
          <w:lang w:val="en-GB"/>
        </w:rPr>
        <w:t>Laban</w:t>
      </w:r>
      <w:r w:rsidRPr="0063486C">
        <w:rPr>
          <w:lang w:val="en-GB"/>
        </w:rPr>
        <w:t xml:space="preserve">, </w:t>
      </w:r>
      <w:r w:rsidR="008052D9" w:rsidRPr="0063486C">
        <w:rPr>
          <w:lang w:val="en-GB"/>
        </w:rPr>
        <w:t>Liby</w:t>
      </w:r>
      <w:r w:rsidR="008052D9">
        <w:rPr>
          <w:lang w:val="en-GB"/>
        </w:rPr>
        <w:t>a</w:t>
      </w:r>
      <w:r>
        <w:rPr>
          <w:lang w:val="en-GB"/>
        </w:rPr>
        <w:t xml:space="preserve">, </w:t>
      </w:r>
      <w:r w:rsidR="008052D9">
        <w:rPr>
          <w:lang w:val="en-GB"/>
        </w:rPr>
        <w:t>Morocco</w:t>
      </w:r>
      <w:r w:rsidRPr="0063486C">
        <w:rPr>
          <w:lang w:val="en-GB"/>
        </w:rPr>
        <w:t>, Palest</w:t>
      </w:r>
      <w:r>
        <w:rPr>
          <w:lang w:val="en-GB"/>
        </w:rPr>
        <w:t>ine, Syria</w:t>
      </w:r>
      <w:r w:rsidRPr="0063486C">
        <w:rPr>
          <w:lang w:val="en-GB"/>
        </w:rPr>
        <w:t xml:space="preserve"> </w:t>
      </w:r>
      <w:r w:rsidR="008052D9">
        <w:rPr>
          <w:lang w:val="en-GB"/>
        </w:rPr>
        <w:t xml:space="preserve">and </w:t>
      </w:r>
      <w:proofErr w:type="spellStart"/>
      <w:r w:rsidR="008052D9">
        <w:rPr>
          <w:lang w:val="en-GB"/>
        </w:rPr>
        <w:t>Tunesi</w:t>
      </w:r>
      <w:r>
        <w:rPr>
          <w:lang w:val="en-GB"/>
        </w:rPr>
        <w:t>a</w:t>
      </w:r>
      <w:proofErr w:type="spellEnd"/>
      <w:r w:rsidRPr="0063486C">
        <w:rPr>
          <w:lang w:val="en-GB"/>
        </w:rPr>
        <w:t xml:space="preserve">) </w:t>
      </w:r>
    </w:p>
  </w:footnote>
  <w:footnote w:id="5">
    <w:p w:rsidR="00A24643" w:rsidRPr="008C7192" w:rsidRDefault="00A24643" w:rsidP="00A24643">
      <w:pPr>
        <w:pStyle w:val="Tekstprzypisudolnego"/>
        <w:jc w:val="both"/>
        <w:rPr>
          <w:b/>
        </w:rPr>
      </w:pPr>
      <w:r w:rsidRPr="008C7192">
        <w:rPr>
          <w:rStyle w:val="Odwoanieprzypisudolnego"/>
        </w:rPr>
        <w:footnoteRef/>
      </w:r>
      <w:r w:rsidRPr="008C7192">
        <w:t xml:space="preserve"> </w:t>
      </w:r>
      <w:r w:rsidRPr="008C7192">
        <w:rPr>
          <w:color w:val="000000"/>
        </w:rPr>
        <w:t xml:space="preserve">Zawiadomienie Komisji. </w:t>
      </w:r>
      <w:hyperlink r:id="rId4" w:history="1">
        <w:r w:rsidRPr="008C7192">
          <w:rPr>
            <w:rStyle w:val="Hipercze"/>
          </w:rPr>
          <w:t>Wytyczne interpretacyjne dotyczące rozporządzenia Parlamentu Europejskiego i Rady (WE) nr 1008/2008 – Obowiązek użyteczności publicznej</w:t>
        </w:r>
      </w:hyperlink>
      <w:r w:rsidRPr="008C7192">
        <w:rPr>
          <w:color w:val="000000"/>
        </w:rPr>
        <w:t>, 2017/C 194/01</w:t>
      </w:r>
    </w:p>
  </w:footnote>
  <w:footnote w:id="6">
    <w:p w:rsidR="00A24643" w:rsidRPr="008C7192" w:rsidRDefault="00A24643" w:rsidP="00A24643">
      <w:pPr>
        <w:pStyle w:val="Tekstprzypisudolnego"/>
        <w:jc w:val="both"/>
      </w:pPr>
      <w:r w:rsidRPr="008C7192">
        <w:rPr>
          <w:rStyle w:val="Odwoanieprzypisudolnego"/>
        </w:rPr>
        <w:footnoteRef/>
      </w:r>
      <w:r w:rsidRPr="008C7192">
        <w:t xml:space="preserve"> Komunikat Komisji </w:t>
      </w:r>
      <w:hyperlink r:id="rId5" w:history="1">
        <w:r w:rsidRPr="008C7192">
          <w:rPr>
            <w:rStyle w:val="Hipercze"/>
            <w:rFonts w:eastAsia="Times New Roman" w:cs="Lucida Sans Unicode"/>
            <w:bCs/>
            <w:lang w:eastAsia="pl-PL"/>
          </w:rPr>
          <w:t>Wytyczne dotyczące pomocy państwa na rzecz portów lotniczych i przedsiębiorstw lotniczych</w:t>
        </w:r>
      </w:hyperlink>
      <w:r w:rsidRPr="008C7192">
        <w:t xml:space="preserve">, </w:t>
      </w:r>
      <w:r w:rsidRPr="008C7192">
        <w:rPr>
          <w:color w:val="444444"/>
        </w:rPr>
        <w:t>2014/C 99/03</w:t>
      </w:r>
    </w:p>
  </w:footnote>
  <w:footnote w:id="7">
    <w:p w:rsidR="008C7192" w:rsidRPr="008C7192" w:rsidRDefault="008C7192" w:rsidP="008C7192">
      <w:pPr>
        <w:pStyle w:val="Tekstprzypisudolnego"/>
        <w:jc w:val="both"/>
      </w:pPr>
      <w:r w:rsidRPr="008C7192">
        <w:rPr>
          <w:rStyle w:val="Odwoanieprzypisudolnego"/>
        </w:rPr>
        <w:footnoteRef/>
      </w:r>
      <w:r w:rsidRPr="008C7192">
        <w:t xml:space="preserve"> Więcej informacji nt. TAIEX na stronie </w:t>
      </w:r>
      <w:hyperlink r:id="rId6" w:history="1">
        <w:r w:rsidRPr="008C7192">
          <w:rPr>
            <w:rStyle w:val="Hipercze"/>
          </w:rPr>
          <w:t>https://ec.europa.eu/neighbourhood-enlargement/tenders/taiex_en</w:t>
        </w:r>
      </w:hyperlink>
      <w:r w:rsidRPr="008C7192">
        <w:t xml:space="preserve"> </w:t>
      </w:r>
    </w:p>
  </w:footnote>
  <w:footnote w:id="8">
    <w:p w:rsidR="008C7192" w:rsidRDefault="008C7192" w:rsidP="008C7192">
      <w:pPr>
        <w:pStyle w:val="Tekstprzypisudolnego"/>
        <w:jc w:val="both"/>
      </w:pPr>
      <w:r w:rsidRPr="004B58CA">
        <w:rPr>
          <w:rStyle w:val="Odwoanieprzypisudolnego"/>
        </w:rPr>
        <w:footnoteRef/>
      </w:r>
      <w:r w:rsidRPr="004B58CA">
        <w:t xml:space="preserve"> </w:t>
      </w:r>
      <w:r w:rsidRPr="008C7192">
        <w:t>Państw Bałkanów Zachodnich (Albanię, Bośnię i Hercegowinę, Czarnogórę, Kosowo, Macedonię-FYROM, Serbię); Kaukazu Południowego (Armenię, Azerbejdżan, Gruzję), Białorusi, Mołdawii, Ukrainy, Turcji oraz Afryki Północnej (Algierii, Egiptu, Izraela, Jordanii, Libanu, Libii, Maroka, Palestyny, Syrii i Tunezji)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1FEE"/>
    <w:multiLevelType w:val="hybridMultilevel"/>
    <w:tmpl w:val="DE20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76AC"/>
    <w:multiLevelType w:val="multilevel"/>
    <w:tmpl w:val="D190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D0B82"/>
    <w:multiLevelType w:val="hybridMultilevel"/>
    <w:tmpl w:val="CD52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828F4"/>
    <w:multiLevelType w:val="hybridMultilevel"/>
    <w:tmpl w:val="A8F8E154"/>
    <w:lvl w:ilvl="0" w:tplc="0590CC5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0C7F"/>
    <w:multiLevelType w:val="hybridMultilevel"/>
    <w:tmpl w:val="522CC8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917BE"/>
    <w:multiLevelType w:val="hybridMultilevel"/>
    <w:tmpl w:val="1E144DE4"/>
    <w:lvl w:ilvl="0" w:tplc="1960BC7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D7A"/>
    <w:rsid w:val="000E0555"/>
    <w:rsid w:val="00336D7A"/>
    <w:rsid w:val="00372717"/>
    <w:rsid w:val="004277EF"/>
    <w:rsid w:val="004B58CA"/>
    <w:rsid w:val="0050019B"/>
    <w:rsid w:val="00525169"/>
    <w:rsid w:val="0063486C"/>
    <w:rsid w:val="006D7D52"/>
    <w:rsid w:val="008052D9"/>
    <w:rsid w:val="00847550"/>
    <w:rsid w:val="00873916"/>
    <w:rsid w:val="008C7192"/>
    <w:rsid w:val="00A24643"/>
    <w:rsid w:val="00AB1E3E"/>
    <w:rsid w:val="00C64B14"/>
    <w:rsid w:val="00CC6D7A"/>
    <w:rsid w:val="00D94052"/>
    <w:rsid w:val="00E45361"/>
    <w:rsid w:val="00EE7635"/>
    <w:rsid w:val="00F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B2B0"/>
  <w15:docId w15:val="{8ACBBCDD-A06F-4CD0-BF94-4F46C084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717"/>
    <w:rPr>
      <w:vertAlign w:val="superscript"/>
    </w:rPr>
  </w:style>
  <w:style w:type="character" w:styleId="Hipercze">
    <w:name w:val="Hyperlink"/>
    <w:basedOn w:val="Domylnaczcionkaakapitu"/>
    <w:rsid w:val="0087391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7391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D7D52"/>
    <w:rPr>
      <w:color w:val="800080" w:themeColor="followedHyperlink"/>
      <w:u w:val="single"/>
    </w:rPr>
  </w:style>
  <w:style w:type="paragraph" w:customStyle="1" w:styleId="doc-ti">
    <w:name w:val="doc-ti"/>
    <w:basedOn w:val="Normalny"/>
    <w:rsid w:val="004B58CA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-doc-c">
    <w:name w:val="no-doc-c"/>
    <w:basedOn w:val="Normalny"/>
    <w:rsid w:val="004B58C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7192"/>
    <w:pPr>
      <w:spacing w:after="150" w:line="240" w:lineRule="auto"/>
    </w:pPr>
    <w:rPr>
      <w:rFonts w:ascii="Times New Roman" w:eastAsia="Times New Roman" w:hAnsi="Times New Roman" w:cs="Times New Roman"/>
      <w:color w:val="0C000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8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34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1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1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8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3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25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81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87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04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1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72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65A2"/>
            <w:bottom w:val="single" w:sz="6" w:space="0" w:color="0065A2"/>
            <w:right w:val="single" w:sz="6" w:space="0" w:color="0065A2"/>
          </w:divBdr>
          <w:divsChild>
            <w:div w:id="1278488339">
              <w:marLeft w:val="0"/>
              <w:marRight w:val="0"/>
              <w:marTop w:val="24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2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9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6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48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8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8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neighbourhood-enlargement/tenders/taiex_en" TargetMode="External"/><Relationship Id="rId2" Type="http://schemas.openxmlformats.org/officeDocument/2006/relationships/hyperlink" Target="https://eur-lex.europa.eu/legal-content/EN/TXT/?uri=CELEX%3A52014XC0404%2801%29" TargetMode="External"/><Relationship Id="rId1" Type="http://schemas.openxmlformats.org/officeDocument/2006/relationships/hyperlink" Target="https://eur-lex.europa.eu/legal-content/EN/TXT/?uri=CELEX%3A52017XC0617%2801%29" TargetMode="External"/><Relationship Id="rId6" Type="http://schemas.openxmlformats.org/officeDocument/2006/relationships/hyperlink" Target="https://ec.europa.eu/neighbourhood-enlargement/tenders/taiex_en" TargetMode="External"/><Relationship Id="rId5" Type="http://schemas.openxmlformats.org/officeDocument/2006/relationships/hyperlink" Target="https://eur-lex.europa.eu/legal-content/PL/TXT/?uri=CELEX%3A52014XC0404%2801%29" TargetMode="External"/><Relationship Id="rId4" Type="http://schemas.openxmlformats.org/officeDocument/2006/relationships/hyperlink" Target="https://eur-lex.europa.eu/legal-content/PL/TXT/?uri=CELEX%3A52017XC0617%2801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452A-B66B-4180-9471-00E67CA7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Dziubak Piotr</dc:creator>
  <cp:lastModifiedBy>Jan Walulik</cp:lastModifiedBy>
  <cp:revision>5</cp:revision>
  <dcterms:created xsi:type="dcterms:W3CDTF">2018-08-08T21:41:00Z</dcterms:created>
  <dcterms:modified xsi:type="dcterms:W3CDTF">2018-08-09T09:04:00Z</dcterms:modified>
</cp:coreProperties>
</file>